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43734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401E49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B89F3B" w14:textId="1826B024" w:rsidR="00BE6A36" w:rsidRP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6A36">
        <w:rPr>
          <w:rFonts w:asciiTheme="minorHAnsi" w:hAnsiTheme="minorHAnsi" w:cstheme="minorHAnsi"/>
          <w:b/>
          <w:sz w:val="28"/>
          <w:szCs w:val="28"/>
        </w:rPr>
        <w:t>MODELO DE PLANILHA PARA A APRESENTAÇÃO DA PROPOSTA</w:t>
      </w:r>
    </w:p>
    <w:p w14:paraId="39CC41A5" w14:textId="6BFF20D1" w:rsidR="00BE6A36" w:rsidRDefault="00BE6A36" w:rsidP="00BE6A36">
      <w:pPr>
        <w:tabs>
          <w:tab w:val="left" w:pos="851"/>
        </w:tabs>
        <w:ind w:left="284"/>
        <w:jc w:val="center"/>
        <w:rPr>
          <w:rFonts w:asciiTheme="minorHAnsi" w:hAnsiTheme="minorHAnsi" w:cstheme="minorHAnsi"/>
          <w:b/>
        </w:rPr>
      </w:pPr>
    </w:p>
    <w:p w14:paraId="359AF5E0" w14:textId="77777777" w:rsidR="00BE6A36" w:rsidRPr="00A87D1B" w:rsidRDefault="00BE6A36" w:rsidP="00BE6A36">
      <w:pPr>
        <w:tabs>
          <w:tab w:val="left" w:pos="851"/>
        </w:tabs>
        <w:ind w:left="284"/>
        <w:jc w:val="center"/>
        <w:rPr>
          <w:rFonts w:asciiTheme="minorHAnsi" w:hAnsiTheme="minorHAnsi" w:cstheme="minorHAnsi"/>
          <w:b/>
        </w:rPr>
      </w:pPr>
    </w:p>
    <w:tbl>
      <w:tblPr>
        <w:tblStyle w:val="Tabelacomgrade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843"/>
        <w:gridCol w:w="1417"/>
        <w:gridCol w:w="1134"/>
      </w:tblGrid>
      <w:tr w:rsidR="00A75806" w:rsidRPr="00242A4B" w14:paraId="153297A0" w14:textId="392CEE90" w:rsidTr="00857878">
        <w:trPr>
          <w:trHeight w:val="346"/>
        </w:trPr>
        <w:tc>
          <w:tcPr>
            <w:tcW w:w="534" w:type="dxa"/>
            <w:vAlign w:val="center"/>
          </w:tcPr>
          <w:p w14:paraId="1966D210" w14:textId="130B47F3" w:rsidR="00A75806" w:rsidRPr="00A75806" w:rsidRDefault="00A75806" w:rsidP="00A75806">
            <w:pPr>
              <w:mirrorIndent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4252" w:type="dxa"/>
            <w:vAlign w:val="center"/>
          </w:tcPr>
          <w:p w14:paraId="18956D7B" w14:textId="77777777" w:rsidR="00A75806" w:rsidRPr="00A75806" w:rsidRDefault="00A75806" w:rsidP="00A75806">
            <w:pPr>
              <w:pStyle w:val="Ttulo1"/>
              <w:rPr>
                <w:sz w:val="20"/>
                <w:szCs w:val="20"/>
              </w:rPr>
            </w:pPr>
            <w:r w:rsidRPr="00A75806">
              <w:rPr>
                <w:sz w:val="20"/>
                <w:szCs w:val="20"/>
              </w:rPr>
              <w:t>DESCRIÇÃO DO ITEM</w:t>
            </w:r>
          </w:p>
        </w:tc>
        <w:tc>
          <w:tcPr>
            <w:tcW w:w="1843" w:type="dxa"/>
            <w:vAlign w:val="center"/>
          </w:tcPr>
          <w:p w14:paraId="3795CDF8" w14:textId="77777777" w:rsidR="00A75806" w:rsidRPr="00A75806" w:rsidRDefault="00A75806" w:rsidP="00A75806">
            <w:pPr>
              <w:mirrorIndent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QUANTIDADE</w:t>
            </w:r>
          </w:p>
          <w:p w14:paraId="090B651C" w14:textId="77777777" w:rsidR="00A75806" w:rsidRPr="00A75806" w:rsidRDefault="00A75806" w:rsidP="00A75806">
            <w:pPr>
              <w:mirrorIndent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(unidade)</w:t>
            </w:r>
          </w:p>
        </w:tc>
        <w:tc>
          <w:tcPr>
            <w:tcW w:w="1417" w:type="dxa"/>
            <w:vAlign w:val="center"/>
          </w:tcPr>
          <w:p w14:paraId="45DD3B03" w14:textId="76FF059D" w:rsidR="00A75806" w:rsidRPr="00A75806" w:rsidRDefault="00A75806" w:rsidP="00A75806">
            <w:pPr>
              <w:mirrorIndent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 UNITÁRIO</w:t>
            </w:r>
          </w:p>
        </w:tc>
        <w:tc>
          <w:tcPr>
            <w:tcW w:w="1134" w:type="dxa"/>
            <w:vAlign w:val="center"/>
          </w:tcPr>
          <w:p w14:paraId="0BC8E6DA" w14:textId="30873EEA" w:rsidR="00A75806" w:rsidRPr="00A75806" w:rsidRDefault="00A75806" w:rsidP="00A75806">
            <w:pPr>
              <w:mirrorIndent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 TOTAL</w:t>
            </w:r>
          </w:p>
        </w:tc>
      </w:tr>
      <w:tr w:rsidR="00A75806" w:rsidRPr="00242A4B" w14:paraId="79DFA008" w14:textId="354CF92F" w:rsidTr="00857878">
        <w:tc>
          <w:tcPr>
            <w:tcW w:w="534" w:type="dxa"/>
            <w:vAlign w:val="center"/>
          </w:tcPr>
          <w:p w14:paraId="50EF8E4B" w14:textId="77777777" w:rsidR="00A75806" w:rsidRPr="00A75806" w:rsidRDefault="00A75806" w:rsidP="00A758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4252" w:type="dxa"/>
            <w:vAlign w:val="center"/>
          </w:tcPr>
          <w:p w14:paraId="1132C3CB" w14:textId="23082878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SWITCH GERENCIÁVEL 24 PORTAS</w:t>
            </w:r>
          </w:p>
          <w:p w14:paraId="638DEF7A" w14:textId="77777777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Características: Múltiplas funções de gerenciamento de rede;</w:t>
            </w:r>
          </w:p>
          <w:p w14:paraId="57290604" w14:textId="0B054CBA" w:rsidR="00A75806" w:rsidRPr="00A75806" w:rsidRDefault="00A75806" w:rsidP="00A75806">
            <w:pPr>
              <w:pStyle w:val="Corpodetexto3"/>
              <w:rPr>
                <w:sz w:val="20"/>
                <w:szCs w:val="20"/>
              </w:rPr>
            </w:pPr>
            <w:r w:rsidRPr="00A75806">
              <w:rPr>
                <w:sz w:val="20"/>
                <w:szCs w:val="20"/>
              </w:rPr>
              <w:t>Segurança de informações e eficiência no tráfego através da segmentação da rede em VLANs;</w:t>
            </w:r>
          </w:p>
          <w:p w14:paraId="5BD8BA77" w14:textId="655D39D5" w:rsidR="00A75806" w:rsidRPr="00A75806" w:rsidRDefault="00A75806" w:rsidP="00A75806">
            <w:pPr>
              <w:pStyle w:val="Corpodetexto3"/>
              <w:rPr>
                <w:sz w:val="20"/>
                <w:szCs w:val="20"/>
              </w:rPr>
            </w:pPr>
            <w:r w:rsidRPr="00A75806">
              <w:rPr>
                <w:sz w:val="20"/>
                <w:szCs w:val="20"/>
              </w:rPr>
              <w:t>Maior confiabilidade e redundância nos links de dados, evitando loops e rotas menos eficientes com Spanning Tree; Aumento do poder de processamento do enlace com o Link Aggregation, que amplia a capacidade de tráfego das portas agregando-as;</w:t>
            </w:r>
          </w:p>
          <w:p w14:paraId="24766077" w14:textId="44809E69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Priorização de dados, voz e controle de banda com a criação de regras de Qualidade de Serviço (</w:t>
            </w:r>
            <w:proofErr w:type="gramStart"/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QoS</w:t>
            </w:r>
            <w:proofErr w:type="gramEnd"/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);</w:t>
            </w:r>
          </w:p>
          <w:p w14:paraId="6C5F8B05" w14:textId="1549E98E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Maior segurança e controle de rede através do monitoramento remoto dos dispositivos conectados via protocolo SNMP;</w:t>
            </w:r>
          </w:p>
          <w:p w14:paraId="28653E32" w14:textId="4F91A408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Alimentação dos dispositivos conectados ao switch pelo cabo de rede (</w:t>
            </w:r>
            <w:proofErr w:type="gramStart"/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PoE</w:t>
            </w:r>
            <w:proofErr w:type="gramEnd"/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 com o SG 2400 PoE;</w:t>
            </w:r>
          </w:p>
          <w:p w14:paraId="4F0FD5E9" w14:textId="214EB0A2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Suporte para instalação em rack padrão EIA 19”</w:t>
            </w:r>
            <w:proofErr w:type="gramEnd"/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(1 U de altura);</w:t>
            </w:r>
          </w:p>
          <w:p w14:paraId="2D8E2C01" w14:textId="62DAF5A4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Garantia de 03 (três) anos </w:t>
            </w:r>
            <w:proofErr w:type="gramStart"/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sob troca</w:t>
            </w:r>
            <w:proofErr w:type="gramEnd"/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expressa;</w:t>
            </w:r>
          </w:p>
          <w:p w14:paraId="423AEC78" w14:textId="050E76AA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Manual e interface de gerenciamento em português.</w:t>
            </w:r>
          </w:p>
          <w:p w14:paraId="698E83B8" w14:textId="77777777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Chipset Broadcom BCM53314S + BCM54685*2</w:t>
            </w:r>
          </w:p>
          <w:p w14:paraId="1B6018AA" w14:textId="77777777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Frequência do buffer 200 MHz</w:t>
            </w:r>
          </w:p>
          <w:p w14:paraId="509EFE09" w14:textId="77777777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Memória SDRAM DDR 256 Mbi</w:t>
            </w:r>
          </w:p>
          <w:p w14:paraId="7E8475A9" w14:textId="77777777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Memória Flash 128 Mbit</w:t>
            </w:r>
          </w:p>
          <w:p w14:paraId="3AA2BECB" w14:textId="77777777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Portas RJ45 Gigabit Ethernet (10/10/1000 Mbps) 24</w:t>
            </w:r>
          </w:p>
          <w:p w14:paraId="107E48E4" w14:textId="77777777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Slots Mini-GBIC/SFP (1000 Mbps) </w:t>
            </w:r>
            <w:proofErr w:type="gramStart"/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proofErr w:type="gramEnd"/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(compartilhadas com as portas 21,22,23 e 24)</w:t>
            </w:r>
          </w:p>
          <w:p w14:paraId="57BF0FD2" w14:textId="77777777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LEDs indicativos Alimentação Link/atividade por porta Indicação de velocidade de conexão</w:t>
            </w:r>
          </w:p>
          <w:p w14:paraId="57CEBF95" w14:textId="77777777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Entrada 100-240 VAC, 50/60 </w:t>
            </w:r>
            <w:proofErr w:type="gramStart"/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Hz</w:t>
            </w:r>
            <w:proofErr w:type="gramEnd"/>
          </w:p>
          <w:p w14:paraId="31989E3B" w14:textId="77777777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Disposição da fonte Fonte de alimentação interna</w:t>
            </w:r>
          </w:p>
          <w:p w14:paraId="46FB14E0" w14:textId="77777777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Potência de consumo (sem link) 8,8 W</w:t>
            </w:r>
          </w:p>
          <w:p w14:paraId="295CAE3E" w14:textId="77777777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Potência máxima de consumo 23,3 W</w:t>
            </w:r>
          </w:p>
          <w:p w14:paraId="63954455" w14:textId="77777777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Temperatura de operação </w:t>
            </w:r>
            <w:proofErr w:type="gramStart"/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proofErr w:type="gramEnd"/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°C a 40 °C</w:t>
            </w:r>
          </w:p>
          <w:p w14:paraId="706B597A" w14:textId="77777777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Temperatura de armazenamento -40 °C a 70 °C</w:t>
            </w:r>
          </w:p>
          <w:p w14:paraId="61548D09" w14:textId="77777777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Umidade de operação 10% a 90% (sem condensação)</w:t>
            </w:r>
          </w:p>
          <w:p w14:paraId="03B38BE2" w14:textId="77777777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Umidade de armazenamento 5% a 90% (sem condensação)</w:t>
            </w:r>
          </w:p>
          <w:p w14:paraId="1A0A0903" w14:textId="77777777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Anatel Equipamento homologado</w:t>
            </w:r>
            <w:proofErr w:type="gramEnd"/>
          </w:p>
          <w:p w14:paraId="0E087C81" w14:textId="77777777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FCC FCC Part 15 B Class A F</w:t>
            </w:r>
          </w:p>
          <w:p w14:paraId="769D0E1E" w14:textId="77777777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 CE EN55022, EN61000-3-2, EN61000-3-3, EN55024 e EN60950-</w:t>
            </w:r>
            <w:proofErr w:type="gramStart"/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proofErr w:type="gramEnd"/>
          </w:p>
          <w:p w14:paraId="02338A04" w14:textId="77777777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Material Aço</w:t>
            </w:r>
          </w:p>
          <w:p w14:paraId="0E426B56" w14:textId="77777777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Instalação em rack padrão EIA 19"</w:t>
            </w:r>
            <w:proofErr w:type="gramEnd"/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 U de altura (acompanha suporte)</w:t>
            </w:r>
          </w:p>
          <w:p w14:paraId="251C7858" w14:textId="77777777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Dimensões (L x A x P) 44 x 220 x 440 mm</w:t>
            </w:r>
          </w:p>
          <w:p w14:paraId="504197FE" w14:textId="77777777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 BASE</w:t>
            </w:r>
            <w:proofErr w:type="gramEnd"/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-T Cabo UTP categoria 3, 4, 5 (máximo 100 m) Cabo STP EIA/TIA-568 100Ω (máximo 100 m)</w:t>
            </w:r>
          </w:p>
          <w:p w14:paraId="7F70C4CF" w14:textId="77777777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100 BASE-TX Cabo UTP categoria </w:t>
            </w:r>
            <w:proofErr w:type="gramStart"/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proofErr w:type="gramEnd"/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5e (máximo 100 m) Cabo STP EIA/TIA-568 100Ω (máximo 100 m)</w:t>
            </w:r>
          </w:p>
          <w:p w14:paraId="243B3BBA" w14:textId="77777777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1000 BASE-T Cabo UTP categoria 5e, </w:t>
            </w:r>
            <w:proofErr w:type="gramStart"/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proofErr w:type="gramEnd"/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(máximo 100 m) EIA/TIA-568 100 Ω STP (máximo 100 m)</w:t>
            </w:r>
          </w:p>
          <w:p w14:paraId="0F6F123C" w14:textId="77777777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1000 BASE-FX Fibra monomodo (SMF) e multimodo (MMF)</w:t>
            </w:r>
          </w:p>
          <w:p w14:paraId="331B3C19" w14:textId="77777777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Padrões IEEE </w:t>
            </w:r>
            <w:proofErr w:type="gramStart"/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IEEE802.</w:t>
            </w:r>
            <w:proofErr w:type="gramEnd"/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3, 802.3u, 802.3ab, 802.3z, 802.3x, 802.1p, 802.1q , 802.1x , 802.1d, 802.1w, 802.1s, 802.1v, 802.3ac, 802.1ax e 802.3ad</w:t>
            </w:r>
          </w:p>
          <w:p w14:paraId="36DD5CAE" w14:textId="77777777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Padrões IETF RFC1541, RFC1112, RFC2236, RFC2618, RFC1757, RFC1157, RFC2571, RFC2030</w:t>
            </w:r>
          </w:p>
          <w:p w14:paraId="653951A1" w14:textId="77777777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Outros padrões e protocolos CSMA/CD, TCP/ IP, </w:t>
            </w:r>
            <w:proofErr w:type="gramStart"/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SNMPv1</w:t>
            </w:r>
            <w:proofErr w:type="gramEnd"/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/v2c/ v3, HTTP, HTTPS, SSHv1/v2</w:t>
            </w:r>
          </w:p>
          <w:p w14:paraId="62FD8632" w14:textId="77777777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Método de transmissão Armazena e envia (Store-and-Forward)</w:t>
            </w:r>
          </w:p>
          <w:p w14:paraId="33121DE8" w14:textId="77777777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Backplane (capacidade do Switch) 48 Gbps</w:t>
            </w:r>
          </w:p>
          <w:p w14:paraId="59121CC7" w14:textId="77777777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Jumbo frame 10240 Bytes</w:t>
            </w:r>
          </w:p>
          <w:p w14:paraId="26E6F3C8" w14:textId="77777777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Taxa de encaminhamento de pacotes 35,7 Mpps</w:t>
            </w:r>
          </w:p>
          <w:p w14:paraId="0523124E" w14:textId="77777777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IPv6</w:t>
            </w:r>
            <w:proofErr w:type="gramEnd"/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Suporte a dual IPv4/ IPv6 stack, MLD snooping e IPv6 neighbor Discovery</w:t>
            </w:r>
          </w:p>
          <w:p w14:paraId="2D81FB3A" w14:textId="77777777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Configuração de portas Autonegociação MDI/MDI-X Controle de </w:t>
            </w:r>
            <w:proofErr w:type="gramStart"/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fluxo (flow control) Espelhamento de portas (port mirroring) Estatística de tráfego</w:t>
            </w:r>
            <w:proofErr w:type="gramEnd"/>
          </w:p>
          <w:p w14:paraId="6E8F9F15" w14:textId="77777777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MTBF 91461 horas </w:t>
            </w:r>
            <w:proofErr w:type="gramStart"/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(40 °C</w:t>
            </w:r>
          </w:p>
          <w:p w14:paraId="16D6DF9E" w14:textId="77777777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End"/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Distribuição de carga Algorítimo baseado em endereço MAC de origem/destino Algorítimo baseado em endereço IP de origem/destino</w:t>
            </w:r>
          </w:p>
          <w:p w14:paraId="4C4D74F5" w14:textId="77777777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Tabela MAC Vínculo e filtro de endereço MAC </w:t>
            </w:r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(MAC Filter) Endereço MAC Estático (Static MAC Adress) Endereço MAC Dinâmico (Dynamic MAC Adress)</w:t>
            </w:r>
          </w:p>
          <w:p w14:paraId="528CBC8F" w14:textId="77777777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VLAN VLAN baseada em protocolo GARP/GVRP 4 k VLANs ativas Voice VLAN4 k VLANs Ids; VLAN baseada em TAG (802.1Q) VLAN baseada em porta; VLAN de </w:t>
            </w:r>
            <w:proofErr w:type="gramStart"/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gerenciamento</w:t>
            </w:r>
            <w:proofErr w:type="gramEnd"/>
          </w:p>
          <w:p w14:paraId="7C2AA6D1" w14:textId="77777777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Spanning Tree 802.1d Spanning Tree Protocol (STP) 802.1w Rapid Spanning Tree Protocol (RSTP) 802.1s Multiple Spanning Tree Protocol (MSTP) Loop Guard Root Guard TC-BPDU Guard BPDU Guard BPDU Filte</w:t>
            </w:r>
          </w:p>
          <w:p w14:paraId="0B4E9D36" w14:textId="77777777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Agregação de Link (Link Aggregation) Agregação de Link estática Agregação de Link dinâmica (LACP) </w:t>
            </w:r>
            <w:proofErr w:type="gramStart"/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  <w:proofErr w:type="gramEnd"/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grupos 8 portas por grupo</w:t>
            </w:r>
          </w:p>
          <w:p w14:paraId="61F1C8B4" w14:textId="77777777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Multicast 256 grupos IGMP v1/v2/v3 IGMP Snooping Fast Leave Multicast VLAN Multicast Estático Filtro Multicast Estatística IGMP</w:t>
            </w:r>
          </w:p>
          <w:p w14:paraId="13AD820D" w14:textId="77777777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QoS</w:t>
            </w:r>
            <w:proofErr w:type="gramEnd"/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(Quality of Service) 4 filas de prioridade CoS baseado em Portas CoS baseado em 802.1p CoS baseado em DSCP Algoritimos de Escalonamento SP, WRR e SP+WRR Storm Control (Broadcast, Multicast e Unicast desconhecido) Controle de banda por porta</w:t>
            </w:r>
          </w:p>
          <w:p w14:paraId="0262EC57" w14:textId="77777777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ACL (Acess Control List) 64 </w:t>
            </w:r>
            <w:proofErr w:type="gramStart"/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ACLsACL</w:t>
            </w:r>
            <w:proofErr w:type="gramEnd"/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nas camadas 2, 3 e 4 (L2/L3/L4)</w:t>
            </w:r>
          </w:p>
          <w:p w14:paraId="28118140" w14:textId="77777777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Gerenciamento SNMP RMON</w:t>
            </w:r>
          </w:p>
          <w:p w14:paraId="42983E35" w14:textId="77777777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Tipos de acesso Web (HTTP/HTTPS) SSH v1/v2 (CLI) Telnet (CLI)</w:t>
            </w:r>
          </w:p>
          <w:p w14:paraId="65974C72" w14:textId="77777777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Console (CLI)</w:t>
            </w:r>
          </w:p>
          <w:p w14:paraId="785C9F68" w14:textId="77777777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Espelhamento de portas (port mirroring)</w:t>
            </w:r>
          </w:p>
          <w:p w14:paraId="145C4B80" w14:textId="77777777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Atualização de firmware Via Web, Console ou </w:t>
            </w:r>
            <w:proofErr w:type="gramStart"/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TFTP</w:t>
            </w:r>
            <w:proofErr w:type="gramEnd"/>
          </w:p>
          <w:p w14:paraId="33C92493" w14:textId="77777777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Configuração backup/reload</w:t>
            </w:r>
          </w:p>
          <w:p w14:paraId="468CE249" w14:textId="77777777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DHCP Cliente DHCP; DHCP Snooping; DHCP Option </w:t>
            </w:r>
            <w:proofErr w:type="gramStart"/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82</w:t>
            </w:r>
            <w:proofErr w:type="gramEnd"/>
          </w:p>
          <w:p w14:paraId="25D1DDEB" w14:textId="77777777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Monitoramento e diagnósticos</w:t>
            </w:r>
          </w:p>
          <w:p w14:paraId="7F3B3A36" w14:textId="16EB0252" w:rsidR="00A75806" w:rsidRPr="00A75806" w:rsidRDefault="00A75806" w:rsidP="00A75806">
            <w:pPr>
              <w:shd w:val="clear" w:color="auto" w:fill="FFFFFF"/>
              <w:spacing w:after="96" w:line="235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Segurança das portas Filtro de Endereço MAC (MAC Address Filter); Associações ARP; Proteção ARP; </w:t>
            </w:r>
            <w:proofErr w:type="gramStart"/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DoS</w:t>
            </w:r>
            <w:proofErr w:type="gramEnd"/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(Denial of Service) - Autenticação 802.1x baseada em porta - - 802.1x baseada em endereço MAC; Guest VLAN Sim Sim Sim - - TSL TLSv1 TLSv1 TLSv1 TLSv1 TLSv1 SSL SSL v2/v3 SSL v2/v3 SSL v2/v3 SSL v2/v3 SSL v2/v3 SSH SSH v1/v2 SSH v1/v2 SSH v1/v2 SSH v1/v2 SSH v1/v2 Restrição do acesso WEB Baseado em endereço IP, endereço MAC e Porta Isolamento de portas. Autenticação com senha do usuário local Sim (em </w:t>
            </w:r>
            <w:proofErr w:type="gramStart"/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proofErr w:type="gramEnd"/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níveis) Sim (em 2 níveis) Sim (em 2 níveis) Sim (em 2 níveis) Sim (em 2 níveis) Detecção de </w:t>
            </w:r>
            <w:r w:rsidRPr="00A758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Loopback (Loopback Detection)</w:t>
            </w:r>
          </w:p>
        </w:tc>
        <w:tc>
          <w:tcPr>
            <w:tcW w:w="1843" w:type="dxa"/>
            <w:vAlign w:val="center"/>
          </w:tcPr>
          <w:p w14:paraId="1E353283" w14:textId="77777777" w:rsidR="00A75806" w:rsidRPr="00A75806" w:rsidRDefault="00A75806" w:rsidP="00A758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80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17" w:type="dxa"/>
            <w:vAlign w:val="center"/>
          </w:tcPr>
          <w:p w14:paraId="1B1C9BD2" w14:textId="238FC4AF" w:rsidR="00A75806" w:rsidRPr="0070160E" w:rsidRDefault="00A75806" w:rsidP="00A758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R$</w:t>
            </w:r>
          </w:p>
        </w:tc>
        <w:tc>
          <w:tcPr>
            <w:tcW w:w="1134" w:type="dxa"/>
            <w:vAlign w:val="center"/>
          </w:tcPr>
          <w:p w14:paraId="65005E8F" w14:textId="3C36F2AA" w:rsidR="00A75806" w:rsidRPr="0070160E" w:rsidRDefault="00A75806" w:rsidP="00A758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R$</w:t>
            </w:r>
          </w:p>
        </w:tc>
      </w:tr>
    </w:tbl>
    <w:p w14:paraId="584C4924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sz w:val="24"/>
          <w:szCs w:val="24"/>
          <w:lang w:val="pt-BR" w:eastAsia="pt-BR"/>
        </w:rPr>
      </w:pPr>
    </w:p>
    <w:p w14:paraId="019ECB44" w14:textId="77777777" w:rsidR="00BE6A36" w:rsidRPr="00A87D1B" w:rsidRDefault="00BE6A36" w:rsidP="00BE6A36">
      <w:pPr>
        <w:rPr>
          <w:rFonts w:asciiTheme="minorHAnsi" w:hAnsiTheme="minorHAnsi" w:cstheme="minorHAnsi"/>
          <w:bCs/>
        </w:rPr>
      </w:pPr>
      <w:r w:rsidRPr="00A87D1B">
        <w:rPr>
          <w:rFonts w:asciiTheme="minorHAnsi" w:hAnsiTheme="minorHAnsi" w:cstheme="minorHAnsi"/>
          <w:b/>
          <w:bCs/>
        </w:rPr>
        <w:t xml:space="preserve">VALIDADE DA PROPOSTA: </w:t>
      </w:r>
      <w:r w:rsidRPr="00A87D1B">
        <w:rPr>
          <w:rFonts w:asciiTheme="minorHAnsi" w:hAnsiTheme="minorHAnsi" w:cstheme="minorHAnsi"/>
          <w:bCs/>
        </w:rPr>
        <w:t>_______ DIAS (NÃO INFERIOR A 60 DIAS)</w:t>
      </w:r>
    </w:p>
    <w:p w14:paraId="43E8935E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4C6A68AC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E-MAIL:</w:t>
      </w:r>
    </w:p>
    <w:p w14:paraId="293E6687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bookmarkStart w:id="0" w:name="_GoBack"/>
      <w:bookmarkEnd w:id="0"/>
    </w:p>
    <w:p w14:paraId="59F00CED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692CCFAA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7727985A" w14:textId="5A42A3FF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IDENTIFICAÇÃO DA EMPRESA (CNPJ, ENDEREÇO, ETC)</w:t>
      </w:r>
      <w:r w:rsidRPr="00A87D1B">
        <w:rPr>
          <w:rFonts w:asciiTheme="minorHAnsi" w:hAnsiTheme="minorHAnsi" w:cstheme="minorHAnsi"/>
          <w:b/>
          <w:bCs/>
        </w:rPr>
        <w:t xml:space="preserve"> E ASSINATURA:</w:t>
      </w:r>
    </w:p>
    <w:p w14:paraId="344C2833" w14:textId="77777777" w:rsidR="000E611A" w:rsidRDefault="000E611A"/>
    <w:sectPr w:rsidR="000E611A" w:rsidSect="00A75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5048B"/>
    <w:multiLevelType w:val="hybridMultilevel"/>
    <w:tmpl w:val="20B064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36"/>
    <w:rsid w:val="00007764"/>
    <w:rsid w:val="000E611A"/>
    <w:rsid w:val="00243E60"/>
    <w:rsid w:val="006F54D9"/>
    <w:rsid w:val="0070160E"/>
    <w:rsid w:val="00857878"/>
    <w:rsid w:val="009E407E"/>
    <w:rsid w:val="00A75806"/>
    <w:rsid w:val="00BE6A36"/>
    <w:rsid w:val="00CE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6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819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Serviço de Suprimentos</dc:creator>
  <cp:keywords/>
  <dc:description/>
  <cp:lastModifiedBy>User</cp:lastModifiedBy>
  <cp:revision>6</cp:revision>
  <dcterms:created xsi:type="dcterms:W3CDTF">2022-04-20T16:53:00Z</dcterms:created>
  <dcterms:modified xsi:type="dcterms:W3CDTF">2022-05-31T11:12:00Z</dcterms:modified>
</cp:coreProperties>
</file>